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90" w:type="dxa"/>
        <w:jc w:val="start"/>
        <w:tblInd w:w="9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330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59" w:before="0" w:after="0"/>
              <w:ind w:hanging="0" w:start="-113" w:end="113"/>
              <w:jc w:val="star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от 17.02.2026                                               п.г.т. Тугулым                                                      № 79</w:t>
            </w:r>
          </w:p>
        </w:tc>
      </w:tr>
    </w:tbl>
    <w:p>
      <w:pPr>
        <w:pStyle w:val="Normal"/>
        <w:spacing w:before="0" w:after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center"/>
        <w:rPr/>
      </w:pPr>
      <w:r>
        <w:rPr>
          <w:rFonts w:ascii="Liberation Serif" w:hAnsi="Liberation Serif"/>
          <w:b/>
          <w:sz w:val="24"/>
          <w:szCs w:val="24"/>
        </w:rPr>
        <w:t xml:space="preserve">Об утверждении бюджетного прогноза </w:t>
      </w:r>
      <w:r>
        <w:rPr>
          <w:rFonts w:ascii="Liberation Serif" w:hAnsi="Liberation Serif"/>
          <w:b/>
          <w:sz w:val="24"/>
          <w:szCs w:val="24"/>
          <w:lang w:val="ru-RU"/>
        </w:rPr>
        <w:t>Тугулымского муниципального округа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  <w:lang w:val="ru-RU"/>
        </w:rPr>
      </w:pPr>
      <w:r>
        <w:rPr>
          <w:rFonts w:ascii="Liberation Serif" w:hAnsi="Liberation Serif"/>
          <w:b/>
          <w:sz w:val="24"/>
          <w:szCs w:val="24"/>
          <w:lang w:val="ru-RU"/>
        </w:rPr>
        <w:t xml:space="preserve"> </w:t>
      </w:r>
      <w:r>
        <w:rPr>
          <w:rFonts w:ascii="Liberation Serif" w:hAnsi="Liberation Serif"/>
          <w:b/>
          <w:sz w:val="24"/>
          <w:szCs w:val="24"/>
          <w:lang w:val="ru-RU"/>
        </w:rPr>
        <w:t>на долгосрочный период до 2031 года</w:t>
      </w:r>
    </w:p>
    <w:p>
      <w:pPr>
        <w:pStyle w:val="Normal"/>
        <w:jc w:val="center"/>
        <w:rPr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  <w:lang w:val="ru-RU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  <w:highlight w:val="none"/>
          <w:lang w:val="ru-RU"/>
        </w:rPr>
      </w:pPr>
      <w:r>
        <w:rPr>
          <w:rFonts w:ascii="Liberation Serif" w:hAnsi="Liberation Serif"/>
          <w:b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ind w:firstLineChars="30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соответствии с </w:t>
      </w:r>
      <w:r>
        <w:rPr>
          <w:rFonts w:ascii="Liberation Serif" w:hAnsi="Liberation Serif"/>
          <w:sz w:val="24"/>
          <w:szCs w:val="24"/>
        </w:rPr>
        <w:t>п</w:t>
      </w:r>
      <w:r>
        <w:rPr>
          <w:rFonts w:ascii="Liberation Serif" w:hAnsi="Liberation Serif"/>
          <w:sz w:val="24"/>
          <w:szCs w:val="24"/>
          <w:lang w:val="ru-RU"/>
        </w:rPr>
        <w:t xml:space="preserve">остановлением администрации Тугулымского муниципального округа от 05.03.2025 № 193 «Об утверждении Порядка разработки, утверждения, мониторинга и контроля реализации бюджетного прогноза Тугулымского муниципального округа на долгосрочный период», руководствуясь Уставом Тугулымского муниципального округа в </w:t>
      </w:r>
      <w:r>
        <w:rPr>
          <w:rFonts w:ascii="Liberation Serif" w:hAnsi="Liberation Serif"/>
          <w:sz w:val="24"/>
          <w:szCs w:val="24"/>
        </w:rPr>
        <w:t xml:space="preserve">целях осуществления долгосрочного бюджетного планирования в </w:t>
      </w:r>
      <w:r>
        <w:rPr>
          <w:rFonts w:ascii="Liberation Serif" w:hAnsi="Liberation Serif"/>
          <w:sz w:val="24"/>
          <w:szCs w:val="24"/>
          <w:lang w:val="ru-RU"/>
        </w:rPr>
        <w:t xml:space="preserve">Тугулымском муниципальном округе, 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>администраци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>я</w:t>
      </w:r>
      <w:r>
        <w:rPr>
          <w:rFonts w:ascii="Liberation Serif" w:hAnsi="Liberation Serif"/>
          <w:sz w:val="24"/>
          <w:szCs w:val="24"/>
          <w:lang w:val="ru-RU"/>
        </w:rPr>
        <w:t xml:space="preserve"> Тугулымского муниципального округ</w:t>
      </w:r>
      <w:r>
        <w:rPr>
          <w:rFonts w:ascii="Liberation Serif" w:hAnsi="Liberation Serif"/>
          <w:sz w:val="24"/>
          <w:szCs w:val="24"/>
          <w:lang w:val="ru-RU"/>
        </w:rPr>
        <w:t>а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start="0" w:end="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1. </w:t>
      </w:r>
      <w:r>
        <w:rPr>
          <w:rFonts w:ascii="Liberation Serif" w:hAnsi="Liberation Serif"/>
          <w:sz w:val="24"/>
          <w:szCs w:val="24"/>
        </w:rPr>
        <w:t>Утвердить бюджетный прогноз</w:t>
      </w:r>
      <w:r>
        <w:rPr>
          <w:rFonts w:ascii="Liberation Serif" w:hAnsi="Liberation Serif"/>
          <w:sz w:val="24"/>
          <w:szCs w:val="24"/>
          <w:lang w:val="ru-RU"/>
        </w:rPr>
        <w:t xml:space="preserve"> Тугулымского муниципального округ</w:t>
      </w:r>
      <w:r>
        <w:rPr>
          <w:rFonts w:ascii="Liberation Serif" w:hAnsi="Liberation Serif"/>
          <w:sz w:val="24"/>
          <w:szCs w:val="24"/>
          <w:lang w:val="ru-RU"/>
        </w:rPr>
        <w:t>а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 </w:t>
      </w:r>
      <w:r>
        <w:rPr>
          <w:rFonts w:ascii="Liberation Serif" w:hAnsi="Liberation Serif"/>
          <w:sz w:val="24"/>
          <w:szCs w:val="24"/>
          <w:lang w:val="ru-RU"/>
        </w:rPr>
        <w:t xml:space="preserve">на долгосрочный период 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до 2031 года </w:t>
      </w:r>
      <w:r>
        <w:rPr>
          <w:rFonts w:ascii="Liberation Serif" w:hAnsi="Liberation Serif"/>
          <w:sz w:val="24"/>
          <w:szCs w:val="24"/>
          <w:lang w:val="ru-RU"/>
        </w:rPr>
        <w:t>(прилагается).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start="0" w:end="0"/>
        <w:jc w:val="both"/>
        <w:rPr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 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ab/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2.  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>Настоящее постановление разместить на официальном сайте администраци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>и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 Тугулымского муниципального округа.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160"/>
        <w:ind w:hanging="0" w:start="0" w:end="0"/>
        <w:jc w:val="both"/>
        <w:rPr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 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ab/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3.     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>Контроль исполнени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>я</w:t>
      </w: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 постановления оставляю за собой.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  <w:b w:val="false"/>
          <w:bCs w:val="false"/>
          <w:sz w:val="24"/>
          <w:szCs w:val="24"/>
          <w:lang w:val="ru-RU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  <w:b w:val="false"/>
          <w:bCs w:val="false"/>
          <w:sz w:val="24"/>
          <w:szCs w:val="24"/>
          <w:lang w:val="ru-RU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  <w:b w:val="false"/>
          <w:bCs w:val="false"/>
          <w:sz w:val="24"/>
          <w:szCs w:val="24"/>
          <w:lang w:val="ru-RU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  <w:b w:val="false"/>
          <w:bCs w:val="false"/>
          <w:sz w:val="24"/>
          <w:szCs w:val="24"/>
          <w:lang w:val="ru-RU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>Глава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40" w:before="0" w:after="0"/>
        <w:ind w:hanging="0" w:start="0"/>
        <w:jc w:val="both"/>
        <w:textAlignment w:val="auto"/>
        <w:rPr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  <w:t xml:space="preserve">Тугулымского муниципального округа                                                                  А.Н. Поздеев   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40" w:before="0" w:after="80"/>
        <w:ind w:hanging="0" w:start="0"/>
        <w:jc w:val="both"/>
        <w:textAlignment w:val="auto"/>
        <w:rPr>
          <w:rFonts w:ascii="Liberation Serif" w:hAnsi="Liberation Serif"/>
          <w:b w:val="false"/>
          <w:bCs w:val="false"/>
          <w:sz w:val="24"/>
          <w:szCs w:val="24"/>
          <w:highlight w:val="none"/>
          <w:lang w:val="ru-RU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62" w:before="0" w:after="80"/>
        <w:ind w:hanging="0" w:start="0"/>
        <w:jc w:val="both"/>
        <w:textAlignment w:val="auto"/>
        <w:rPr>
          <w:rFonts w:ascii="Liberation Serif" w:hAnsi="Liberation Serif"/>
          <w:b w:val="false"/>
          <w:bCs w:val="false"/>
          <w:sz w:val="24"/>
          <w:szCs w:val="24"/>
          <w:highlight w:val="none"/>
          <w:lang w:val="ru-RU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62" w:before="0" w:after="80"/>
        <w:ind w:hanging="0" w:start="0"/>
        <w:jc w:val="both"/>
        <w:textAlignment w:val="auto"/>
        <w:rPr>
          <w:rFonts w:ascii="Liberation Serif" w:hAnsi="Liberation Serif"/>
          <w:b w:val="false"/>
          <w:bCs w:val="false"/>
          <w:sz w:val="26"/>
          <w:szCs w:val="26"/>
          <w:highlight w:val="none"/>
          <w:lang w:val="ru-RU"/>
        </w:rPr>
      </w:pPr>
      <w:r>
        <w:rPr>
          <w:rFonts w:ascii="Liberation Serif" w:hAnsi="Liberation Serif"/>
          <w:b w:val="false"/>
          <w:bCs w:val="false"/>
          <w:sz w:val="26"/>
          <w:szCs w:val="26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62" w:before="0" w:after="80"/>
        <w:ind w:hanging="0" w:start="0"/>
        <w:jc w:val="both"/>
        <w:textAlignment w:val="auto"/>
        <w:rPr>
          <w:rFonts w:ascii="Liberation Serif" w:hAnsi="Liberation Serif"/>
          <w:b w:val="false"/>
          <w:bCs w:val="false"/>
          <w:sz w:val="26"/>
          <w:szCs w:val="26"/>
          <w:highlight w:val="none"/>
          <w:lang w:val="ru-RU"/>
        </w:rPr>
      </w:pPr>
      <w:r>
        <w:rPr>
          <w:rFonts w:ascii="Liberation Serif" w:hAnsi="Liberation Serif"/>
          <w:b w:val="false"/>
          <w:bCs w:val="false"/>
          <w:sz w:val="26"/>
          <w:szCs w:val="26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62" w:before="0" w:after="80"/>
        <w:ind w:hanging="0" w:start="0"/>
        <w:jc w:val="both"/>
        <w:textAlignment w:val="auto"/>
        <w:rPr>
          <w:rFonts w:ascii="Liberation Serif" w:hAnsi="Liberation Serif"/>
          <w:b w:val="false"/>
          <w:bCs w:val="false"/>
          <w:sz w:val="26"/>
          <w:szCs w:val="26"/>
          <w:highlight w:val="none"/>
          <w:lang w:val="ru-RU"/>
        </w:rPr>
      </w:pPr>
      <w:r>
        <w:rPr>
          <w:rFonts w:ascii="Liberation Serif" w:hAnsi="Liberation Serif"/>
          <w:b w:val="false"/>
          <w:bCs w:val="false"/>
          <w:sz w:val="26"/>
          <w:szCs w:val="26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  <w:lang w:val="ru-RU"/>
        </w:rPr>
      </w:pPr>
      <w:r>
        <w:rPr>
          <w:rFonts w:ascii="Liberation Serif" w:hAnsi="Liberation Serif"/>
          <w:sz w:val="24"/>
          <w:szCs w:val="24"/>
          <w:lang w:val="ru-RU"/>
        </w:rPr>
        <w:t>Тугулымского муниципального округа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end"/>
        <w:textAlignment w:val="auto"/>
        <w:outlineLvl w:val="0"/>
        <w:rPr>
          <w:rFonts w:ascii="Liberation Serif" w:hAnsi="Liberation Serif"/>
          <w:sz w:val="24"/>
          <w:szCs w:val="24"/>
          <w:highlight w:val="none"/>
          <w:lang w:val="ru-RU"/>
        </w:rPr>
      </w:pPr>
      <w:r>
        <w:rPr>
          <w:rFonts w:ascii="Liberation Serif" w:hAnsi="Liberation Serif"/>
          <w:sz w:val="24"/>
          <w:szCs w:val="24"/>
          <w:lang w:val="ru-RU"/>
        </w:rPr>
        <w:t>о</w:t>
      </w:r>
      <w:r>
        <w:rPr>
          <w:rFonts w:ascii="Liberation Serif" w:hAnsi="Liberation Serif"/>
          <w:sz w:val="24"/>
          <w:szCs w:val="24"/>
          <w:lang w:val="ru-RU"/>
        </w:rPr>
        <w:t xml:space="preserve">т </w:t>
      </w:r>
      <w:r>
        <w:rPr>
          <w:rFonts w:ascii="Liberation Serif" w:hAnsi="Liberation Serif"/>
          <w:sz w:val="24"/>
          <w:szCs w:val="24"/>
          <w:lang w:val="ru-RU"/>
        </w:rPr>
        <w:t>17.02.2026</w:t>
      </w:r>
      <w:r>
        <w:rPr>
          <w:rFonts w:ascii="Liberation Serif" w:hAnsi="Liberation Serif"/>
          <w:sz w:val="24"/>
          <w:szCs w:val="24"/>
          <w:lang w:val="ru-RU"/>
        </w:rPr>
        <w:t xml:space="preserve">  №</w:t>
      </w:r>
      <w:r>
        <w:rPr>
          <w:rFonts w:ascii="Liberation Serif" w:hAnsi="Liberation Serif"/>
          <w:sz w:val="24"/>
          <w:szCs w:val="24"/>
          <w:lang w:val="ru-RU"/>
        </w:rPr>
        <w:t xml:space="preserve"> </w:t>
      </w:r>
      <w:r>
        <w:rPr>
          <w:rFonts w:ascii="Liberation Serif" w:hAnsi="Liberation Serif"/>
          <w:sz w:val="24"/>
          <w:szCs w:val="24"/>
          <w:lang w:val="ru-RU"/>
        </w:rPr>
        <w:t>79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80"/>
        <w:ind w:hanging="0" w:start="0"/>
        <w:jc w:val="end"/>
        <w:textAlignment w:val="auto"/>
        <w:outlineLvl w:val="0"/>
        <w:rPr>
          <w:rFonts w:ascii="Liberation Serif" w:hAnsi="Liberation Serif"/>
          <w:sz w:val="26"/>
          <w:szCs w:val="26"/>
          <w:highlight w:val="none"/>
          <w:lang w:val="ru-RU"/>
        </w:rPr>
      </w:pPr>
      <w:r>
        <w:rPr>
          <w:rFonts w:ascii="Liberation Serif" w:hAnsi="Liberation Serif"/>
          <w:sz w:val="26"/>
          <w:szCs w:val="26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center"/>
        <w:textAlignment w:val="auto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  <w:lang w:val="ru-RU"/>
        </w:rPr>
        <w:t>Бюджетный прогноз Тугулымского муниципального округа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tabs>
          <w:tab w:val="clear" w:pos="708"/>
          <w:tab w:val="left" w:pos="5103" w:leader="none"/>
        </w:tabs>
        <w:overflowPunct w:val="true"/>
        <w:bidi w:val="0"/>
        <w:snapToGrid w:val="true"/>
        <w:spacing w:lineRule="auto" w:line="240" w:before="0" w:after="0"/>
        <w:ind w:hanging="0" w:start="0"/>
        <w:jc w:val="center"/>
        <w:textAlignment w:val="auto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  <w:lang w:val="ru-RU"/>
        </w:rPr>
        <w:t xml:space="preserve"> </w:t>
      </w:r>
      <w:r>
        <w:rPr>
          <w:rFonts w:ascii="Liberation Serif" w:hAnsi="Liberation Serif"/>
          <w:b/>
          <w:bCs/>
          <w:sz w:val="24"/>
          <w:szCs w:val="24"/>
          <w:lang w:val="ru-RU"/>
        </w:rPr>
        <w:t>на долгосрочный период до 2031 года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62" w:before="0" w:after="80"/>
        <w:ind w:hanging="0" w:start="0"/>
        <w:jc w:val="end"/>
        <w:textAlignment w:val="auto"/>
        <w:rPr>
          <w:rFonts w:ascii="Liberation Serif" w:hAnsi="Liberation Serif"/>
          <w:b w:val="false"/>
          <w:bCs w:val="false"/>
          <w:sz w:val="24"/>
          <w:szCs w:val="24"/>
          <w:highlight w:val="none"/>
          <w:lang w:val="ru-RU"/>
        </w:rPr>
      </w:pPr>
      <w:r>
        <w:rPr>
          <w:rFonts w:ascii="Liberation Serif" w:hAnsi="Liberation Serif"/>
          <w:b w:val="false"/>
          <w:bCs w:val="false"/>
          <w:sz w:val="24"/>
          <w:szCs w:val="24"/>
          <w:lang w:val="ru-RU"/>
        </w:rPr>
      </w:r>
    </w:p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Бюджетный прогноз </w:t>
      </w:r>
      <w:r>
        <w:rPr>
          <w:rFonts w:ascii="Liberation Serif" w:hAnsi="Liberation Serif"/>
          <w:sz w:val="24"/>
          <w:szCs w:val="24"/>
          <w:lang w:val="ru-RU"/>
        </w:rPr>
        <w:t xml:space="preserve">Тугулымского муниципального </w:t>
      </w:r>
      <w:r>
        <w:rPr>
          <w:rFonts w:ascii="Liberation Serif" w:hAnsi="Liberation Serif"/>
          <w:sz w:val="24"/>
          <w:szCs w:val="24"/>
        </w:rPr>
        <w:t xml:space="preserve">округа </w:t>
      </w:r>
      <w:r>
        <w:rPr>
          <w:rFonts w:ascii="Liberation Serif" w:hAnsi="Liberation Serif"/>
          <w:sz w:val="24"/>
          <w:szCs w:val="24"/>
          <w:lang w:val="ru-RU"/>
        </w:rPr>
        <w:t xml:space="preserve"> Свердловской области </w:t>
      </w:r>
      <w:r>
        <w:rPr>
          <w:rFonts w:ascii="Liberation Serif" w:hAnsi="Liberation Serif"/>
          <w:sz w:val="24"/>
          <w:szCs w:val="24"/>
        </w:rPr>
        <w:t>на долгосрочный период (далее – бюджетный прогноз</w:t>
      </w:r>
      <w:r>
        <w:rPr>
          <w:rFonts w:ascii="Liberation Serif" w:hAnsi="Liberation Serif"/>
          <w:sz w:val="24"/>
          <w:szCs w:val="24"/>
          <w:lang w:val="ru-RU"/>
        </w:rPr>
        <w:t xml:space="preserve"> Тугулымского муниципального округа</w:t>
      </w:r>
      <w:r>
        <w:rPr>
          <w:rFonts w:ascii="Liberation Serif" w:hAnsi="Liberation Serif"/>
          <w:sz w:val="24"/>
          <w:szCs w:val="24"/>
        </w:rPr>
        <w:t>) разработан на основе</w:t>
      </w:r>
      <w:r>
        <w:rPr>
          <w:rFonts w:ascii="Liberation Serif" w:hAnsi="Liberation Serif"/>
          <w:sz w:val="24"/>
          <w:szCs w:val="24"/>
          <w:lang w:val="ru-RU"/>
        </w:rPr>
        <w:t xml:space="preserve"> бюджетного прогноза Свердловской области на период до 2036 года, утвержденного постановлением Правительства Свердловской области  от 26.01.2023 года №40-ПП, стратегии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val="ru-RU"/>
        </w:rPr>
        <w:t xml:space="preserve">социально-экономического развития Тугулымского городского округа, утвержденного решением Думы Тугулымского городского округа от 12.04.2019г. №19, 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val="ru-RU"/>
        </w:rPr>
        <w:t xml:space="preserve">прогноза социально-экономического развития Тугулымского муниципального округа Свердловской области на 2026 год и плановый период 2027 и 2028 годов, утвержденного постановлением администрации Тугулымского муниципального округа от 13.11.2026г. №755 «Об одобрении прогноза социально-экономического развития Тугулымского муниципального округа Свердловской области на 2026 год и плановый период 2027 и 2028 годов» </w:t>
      </w:r>
      <w:r>
        <w:rPr>
          <w:rFonts w:ascii="Liberation Serif" w:hAnsi="Liberation Serif"/>
          <w:sz w:val="24"/>
          <w:szCs w:val="24"/>
        </w:rPr>
        <w:t xml:space="preserve">с учетом основных направлений бюджетной и налоговой политики </w:t>
      </w:r>
      <w:r>
        <w:rPr>
          <w:rFonts w:ascii="Liberation Serif" w:hAnsi="Liberation Serif"/>
          <w:sz w:val="24"/>
          <w:szCs w:val="24"/>
          <w:lang w:val="ru-RU"/>
        </w:rPr>
        <w:t xml:space="preserve"> Тугулымского муниципального</w:t>
      </w:r>
      <w:r>
        <w:rPr>
          <w:rFonts w:ascii="Liberation Serif" w:hAnsi="Liberation Serif"/>
          <w:sz w:val="24"/>
          <w:szCs w:val="24"/>
        </w:rPr>
        <w:t xml:space="preserve"> округа</w:t>
      </w:r>
      <w:r>
        <w:rPr>
          <w:rFonts w:ascii="Liberation Serif" w:hAnsi="Liberation Serif"/>
          <w:sz w:val="24"/>
          <w:szCs w:val="24"/>
          <w:lang w:val="ru-RU"/>
        </w:rPr>
        <w:t xml:space="preserve">, утвержденных постановлением администрации Тугулымского муниципального округа Свердловской области от 01.11.2025г. №736 «Об утверждении основных направлений </w:t>
      </w:r>
      <w:r>
        <w:rPr>
          <w:rFonts w:cs="Times New Roman" w:ascii="Liberation Serif" w:hAnsi="Liberation Serif"/>
          <w:bCs/>
          <w:iCs/>
          <w:color w:val="000000"/>
          <w:sz w:val="24"/>
          <w:szCs w:val="24"/>
        </w:rPr>
        <w:t>бюджетной и налоговой политики Тугулымского муниципального округа Свердловской области на 2026 год и плановый период 2027 и 2028 годов</w:t>
      </w:r>
      <w:r>
        <w:rPr>
          <w:rFonts w:cs="Times New Roman" w:ascii="Liberation Serif" w:hAnsi="Liberation Serif"/>
          <w:bCs/>
          <w:iCs/>
          <w:color w:val="000000"/>
          <w:sz w:val="24"/>
          <w:szCs w:val="24"/>
          <w:lang w:val="ru-RU"/>
        </w:rPr>
        <w:t>»</w:t>
      </w:r>
      <w:r>
        <w:rPr>
          <w:rFonts w:ascii="Liberation Serif" w:hAnsi="Liberation Serif"/>
          <w:sz w:val="24"/>
          <w:szCs w:val="24"/>
        </w:rPr>
        <w:t xml:space="preserve">. </w:t>
      </w:r>
    </w:p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Бюджетный прогноз разработан в условиях налогового и бюджетного законодательства, действующего на момент его составления.</w:t>
      </w:r>
    </w:p>
    <w:p>
      <w:pPr>
        <w:pStyle w:val="Normal"/>
        <w:keepNext w:val="false"/>
        <w:keepLines w:val="false"/>
        <w:pageBreakBefore w:val="false"/>
        <w:widowControl/>
        <w:shd w:val="clear" w:color="auto" w:fill="FFFFFF"/>
        <w:overflowPunct w:val="true"/>
        <w:bidi w:val="0"/>
        <w:snapToGrid w:val="true"/>
        <w:spacing w:lineRule="auto" w:line="240" w:before="0" w:after="0"/>
        <w:ind w:firstLine="709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Целью долгосрочного бюджетного планирования является </w:t>
      </w:r>
      <w:r>
        <w:rPr>
          <w:rFonts w:ascii="Liberation Serif" w:hAnsi="Liberation Serif"/>
          <w:sz w:val="24"/>
          <w:szCs w:val="24"/>
          <w:lang w:val="ru-RU"/>
        </w:rPr>
        <w:t>оценка основных параметров бюджета Тугулымского муниципального округа на</w:t>
      </w:r>
      <w:r>
        <w:rPr>
          <w:rFonts w:ascii="Liberation Serif" w:hAnsi="Liberation Serif"/>
          <w:sz w:val="24"/>
          <w:szCs w:val="24"/>
          <w:lang w:val="en-US"/>
        </w:rPr>
        <w:t xml:space="preserve"> </w:t>
      </w:r>
      <w:r>
        <w:rPr>
          <w:rFonts w:ascii="Liberation Serif" w:hAnsi="Liberation Serif"/>
          <w:sz w:val="24"/>
          <w:szCs w:val="24"/>
          <w:lang w:val="ru-RU"/>
        </w:rPr>
        <w:t>долгосрочный период, что позволяет вырабатывать на их основе соответствующие меры, направленные на повышение устойчивости и эффективности функционирования бюджетной системы и достижение стратегических целей социально-экономического развития Тугулымского муниципального округа.</w:t>
      </w:r>
    </w:p>
    <w:p>
      <w:pPr>
        <w:pStyle w:val="Normal"/>
        <w:widowControl/>
        <w:shd w:val="clear" w:color="auto" w:fill="FFFFFF"/>
        <w:overflowPunct w:val="true"/>
        <w:bidi w:val="0"/>
        <w:snapToGrid w:val="true"/>
        <w:spacing w:lineRule="auto" w:line="240" w:before="0" w:after="0"/>
        <w:ind w:firstLine="709"/>
        <w:jc w:val="both"/>
        <w:textAlignment w:val="auto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Основным приоритетом бюджетной политики Тугулымского муниципального  округа является достижение национальных целей развития Российской Федерации, определенных в Указе Президента Российской Федерации от 7 мая 2024 года № 309, и стратегических задач социально-экономического развития Свердловской области и Тугулымского муниципального округа.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62" w:before="0" w:after="0"/>
        <w:ind w:firstLineChars="30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Основная задача долгосрочного бюджетного планирования состоит в увязке проводимой бюджетной политикой с задачами по созданию долгосрочного устойчивого роста экономики и повышению уровня и качества жизни населения </w:t>
      </w:r>
      <w:r>
        <w:rPr>
          <w:rFonts w:ascii="Liberation Serif" w:hAnsi="Liberation Serif"/>
          <w:sz w:val="24"/>
          <w:szCs w:val="24"/>
          <w:lang w:val="ru-RU"/>
        </w:rPr>
        <w:t>Тугулымского муниципального округа.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262" w:before="0" w:after="0"/>
        <w:ind w:firstLine="709" w:start="0"/>
        <w:contextualSpacing/>
        <w:jc w:val="both"/>
        <w:textAlignment w:val="auto"/>
        <w:outlineLvl w:val="1"/>
        <w:rPr/>
      </w:pPr>
      <w:r>
        <w:rPr>
          <w:rFonts w:ascii="Liberation Serif" w:hAnsi="Liberation Serif"/>
          <w:sz w:val="24"/>
          <w:szCs w:val="24"/>
        </w:rPr>
        <w:t xml:space="preserve">Бюджетная политика </w:t>
      </w:r>
      <w:r>
        <w:rPr>
          <w:rFonts w:ascii="Liberation Serif" w:hAnsi="Liberation Serif"/>
          <w:sz w:val="24"/>
          <w:szCs w:val="24"/>
          <w:lang w:val="ru-RU"/>
        </w:rPr>
        <w:t>Тугулымского муниципального</w:t>
      </w:r>
      <w:r>
        <w:rPr>
          <w:rFonts w:ascii="Liberation Serif" w:hAnsi="Liberation Serif"/>
          <w:sz w:val="24"/>
          <w:szCs w:val="24"/>
        </w:rPr>
        <w:t xml:space="preserve"> округа на долгосрочный период должна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сохранить необходимый уровень финансового обеспечения расходов местного бюджета, формирующих качество жизни населения Тугулымского муниципального округа</w:t>
      </w:r>
      <w:r>
        <w:rPr>
          <w:rStyle w:val="pt-a0-000053"/>
          <w:rFonts w:cs="Times New Roman" w:ascii="Liberation Serif" w:hAnsi="Liberation Serif"/>
          <w:sz w:val="24"/>
          <w:szCs w:val="24"/>
          <w:lang w:val="ru-RU"/>
        </w:rPr>
        <w:t xml:space="preserve"> (</w:t>
      </w:r>
      <w:r>
        <w:rPr>
          <w:rFonts w:ascii="Liberation Serif" w:hAnsi="Liberation Serif"/>
          <w:color w:val="auto"/>
          <w:sz w:val="24"/>
          <w:szCs w:val="24"/>
        </w:rPr>
        <w:t>учитыват</w:t>
      </w:r>
      <w:r>
        <w:rPr>
          <w:rFonts w:ascii="Liberation Serif" w:hAnsi="Liberation Serif"/>
          <w:sz w:val="24"/>
          <w:szCs w:val="24"/>
        </w:rPr>
        <w:t>ь в полной мере риски развития экономики, а также предусматривать меры по минимизации их неблагоприятного влияния на качество жизни населения</w:t>
      </w:r>
      <w:r>
        <w:rPr>
          <w:rFonts w:ascii="Liberation Serif" w:hAnsi="Liberation Serif"/>
          <w:sz w:val="24"/>
          <w:szCs w:val="24"/>
          <w:lang w:val="ru-RU"/>
        </w:rPr>
        <w:t>).</w:t>
      </w:r>
    </w:p>
    <w:p>
      <w:pPr>
        <w:pStyle w:val="Normal"/>
        <w:numPr>
          <w:ilvl w:val="0"/>
          <w:numId w:val="0"/>
        </w:numPr>
        <w:spacing w:before="0" w:after="160"/>
        <w:ind w:firstLine="709" w:start="0"/>
        <w:contextualSpacing/>
        <w:jc w:val="both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долгосрочном  периоде основные направления работы должны  предусматривать мероприятия, обеспечивающие бюджетную устойчивость и общую экономическую стабильность </w:t>
      </w:r>
      <w:r>
        <w:rPr>
          <w:rFonts w:ascii="Liberation Serif" w:hAnsi="Liberation Serif"/>
          <w:sz w:val="24"/>
          <w:szCs w:val="24"/>
          <w:lang w:val="ru-RU"/>
        </w:rPr>
        <w:t>Тугулымского муниципального</w:t>
      </w:r>
      <w:r>
        <w:rPr>
          <w:rFonts w:ascii="Liberation Serif" w:hAnsi="Liberation Serif"/>
          <w:sz w:val="24"/>
          <w:szCs w:val="24"/>
        </w:rPr>
        <w:t xml:space="preserve"> округа.</w:t>
      </w:r>
    </w:p>
    <w:p>
      <w:pPr>
        <w:pStyle w:val="Normal"/>
        <w:numPr>
          <w:ilvl w:val="0"/>
          <w:numId w:val="0"/>
        </w:numPr>
        <w:spacing w:before="0" w:after="160"/>
        <w:ind w:firstLine="709" w:start="0"/>
        <w:contextualSpacing/>
        <w:jc w:val="both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Основными подходами долгосрочной бюджетной политики по формированию </w:t>
        <w:br/>
        <w:t>доходов бюджета будут являться:</w:t>
      </w:r>
    </w:p>
    <w:p>
      <w:pPr>
        <w:pStyle w:val="Normal"/>
        <w:keepNext w:val="false"/>
        <w:keepLines w:val="false"/>
        <w:pageBreakBefore w:val="false"/>
        <w:widowControl/>
        <w:tabs>
          <w:tab w:val="clear" w:pos="708"/>
          <w:tab w:val="left" w:pos="567" w:leader="none"/>
        </w:tabs>
        <w:overflowPunct w:val="true"/>
        <w:bidi w:val="0"/>
        <w:snapToGrid w:val="true"/>
        <w:spacing w:lineRule="auto" w:line="240" w:before="0" w:after="0"/>
        <w:ind w:firstLineChars="30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1) продолжение реализации мероприятий по повышению доходного потенциала, направленных на увеличение собственных доходов Тугулымского муниципального  округа, что будет способствовать устойчивому социально-экономическому развитию муниципального округа и повышению качества жизни населения Тугулымского муниципального  округа.</w:t>
      </w:r>
    </w:p>
    <w:p>
      <w:pPr>
        <w:pStyle w:val="Normal"/>
        <w:keepNext w:val="false"/>
        <w:keepLines w:val="false"/>
        <w:pageBreakBefore w:val="false"/>
        <w:widowControl/>
        <w:tabs>
          <w:tab w:val="clear" w:pos="708"/>
          <w:tab w:val="left" w:pos="567" w:leader="none"/>
        </w:tabs>
        <w:overflowPunct w:val="true"/>
        <w:bidi w:val="0"/>
        <w:snapToGrid w:val="true"/>
        <w:spacing w:lineRule="auto" w:line="24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    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При этом особое внимание необходимо уделить мероприятиям, ориентированным на стимулирование развития предпринимательства, малого и среднего бизнеса, включая привлечение новых плательщиков в Тугулымский район, работу с неналоговыми платежами, в том числе с дебиторской задолженностью, а также вовлечение в хозяйственный и налоговый оборот объектов недвижимого имущества;</w:t>
      </w:r>
    </w:p>
    <w:p>
      <w:pPr>
        <w:pStyle w:val="Normal"/>
        <w:keepNext w:val="false"/>
        <w:keepLines w:val="false"/>
        <w:pageBreakBefore w:val="false"/>
        <w:widowControl/>
        <w:tabs>
          <w:tab w:val="clear" w:pos="708"/>
          <w:tab w:val="left" w:pos="567" w:leader="none"/>
        </w:tabs>
        <w:overflowPunct w:val="true"/>
        <w:bidi w:val="0"/>
        <w:snapToGrid w:val="true"/>
        <w:spacing w:lineRule="auto" w:line="24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ab/>
        <w:tab/>
        <w:t>2) реализация  мероприятий, направленных  на стимулирование экономической и инвестиционной активности, в том числе: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   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обеспечение справедливых конкурентных условий для ведения предпринимательской деятельности и роста деловой активности в целях повышения уровня инвестиционной привлекательности Тугулымского муниципального округа;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ab/>
        <w:t>содействие достижению приоритетов, целей и задач социально-экономического развития муниципального округа;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  <w:lang w:val="ru-RU"/>
        </w:rPr>
        <w:t xml:space="preserve">   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ab/>
        <w:t>4) улучшение качества и повышение эффективности администрирования  неналоговых доходов  путем продолжения системной работы по урегулированию дебиторской задолженности  по платежам в бюджет, пеней и штрафов  в соответствии с  порядком реализации полномочий  администратора  доходов бюджета  по взысканию дебиторской задолженности, в том числе за счет признания  задолженности сомнительной  или безнадежной к взысканию</w:t>
      </w:r>
    </w:p>
    <w:p>
      <w:pPr>
        <w:pStyle w:val="Normal"/>
        <w:numPr>
          <w:ilvl w:val="0"/>
          <w:numId w:val="0"/>
        </w:numPr>
        <w:spacing w:before="0" w:after="160"/>
        <w:ind w:hanging="0" w:start="0"/>
        <w:contextualSpacing/>
        <w:jc w:val="both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При формировании и реализации бюджетной политики на долгосрочный период необходимо решение следующих задач:</w:t>
      </w:r>
    </w:p>
    <w:p>
      <w:pPr>
        <w:pStyle w:val="Normal"/>
        <w:keepNext w:val="false"/>
        <w:keepLines w:val="false"/>
        <w:pageBreakBefore w:val="false"/>
        <w:widowControl/>
        <w:tabs>
          <w:tab w:val="clear" w:pos="708"/>
          <w:tab w:val="left" w:pos="567" w:leader="none"/>
        </w:tabs>
        <w:overflowPunct w:val="true"/>
        <w:bidi w:val="0"/>
        <w:snapToGrid w:val="true"/>
        <w:spacing w:lineRule="atLeast" w:line="20" w:before="0" w:after="0"/>
        <w:jc w:val="both"/>
        <w:textAlignment w:val="auto"/>
        <w:rPr/>
      </w:pPr>
      <w:r>
        <w:rPr>
          <w:rFonts w:cs="Times New Roman" w:ascii="Liberation Serif" w:hAnsi="Liberation Serif"/>
          <w:sz w:val="24"/>
          <w:szCs w:val="24"/>
        </w:rPr>
        <w:t xml:space="preserve">   </w:t>
      </w:r>
      <w:r>
        <w:rPr>
          <w:rFonts w:cs="Times New Roman" w:ascii="Liberation Serif" w:hAnsi="Liberation Serif"/>
          <w:sz w:val="24"/>
          <w:szCs w:val="24"/>
          <w:lang w:val="ru-RU"/>
        </w:rPr>
        <w:t xml:space="preserve">    </w:t>
      </w: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>1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) своевременное принятие решений по приоритизации расходов в целях  обеспечения сбалансированного  исполнения бюджета, в том числе  недопущения рисков  образования просроченной  кредиторской задолженности;</w:t>
      </w:r>
    </w:p>
    <w:p>
      <w:pPr>
        <w:pStyle w:val="Normal"/>
        <w:keepNext w:val="false"/>
        <w:keepLines w:val="false"/>
        <w:pageBreakBefore w:val="false"/>
        <w:widowControl/>
        <w:tabs>
          <w:tab w:val="clear" w:pos="708"/>
          <w:tab w:val="left" w:pos="567" w:leader="none"/>
        </w:tabs>
        <w:overflowPunct w:val="true"/>
        <w:bidi w:val="0"/>
        <w:snapToGrid w:val="true"/>
        <w:spacing w:lineRule="atLeast" w:line="2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ab/>
        <w:tab/>
        <w:t>2) ограничение  принятия решений, влекущих возникновение новых  расходных обязательств   муниципального округа по мероприятиям, не  имеющим первоочередного значения, рациональное  и эффективное  использование  имеющихся  бюджетных средств;</w:t>
      </w:r>
    </w:p>
    <w:p>
      <w:pPr>
        <w:pStyle w:val="Normal"/>
        <w:keepNext w:val="false"/>
        <w:keepLines w:val="false"/>
        <w:pageBreakBefore w:val="false"/>
        <w:widowControl/>
        <w:tabs>
          <w:tab w:val="clear" w:pos="708"/>
          <w:tab w:val="left" w:pos="567" w:leader="none"/>
        </w:tabs>
        <w:overflowPunct w:val="true"/>
        <w:bidi w:val="0"/>
        <w:snapToGrid w:val="true"/>
        <w:spacing w:lineRule="atLeast" w:line="2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ab/>
        <w:tab/>
        <w:t>3) формирование муниципальных программ  в проектном формате  исходя их четко определенных целей и задач  социально-экономического  развития  Свердловской области, повышение качества планирования  программных показателей и мероприятий  с учетом текущей  социально-экономической ситуации  исходя  из ожидаемых-  результатов, повышение финансовой гибкости при их реализации.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tLeast" w:line="20" w:before="0" w:after="0"/>
        <w:jc w:val="both"/>
        <w:textAlignment w:val="auto"/>
        <w:rPr/>
      </w:pPr>
      <w:r>
        <w:rPr>
          <w:rStyle w:val="pt-a0-000053"/>
          <w:rFonts w:cs="Times New Roman" w:ascii="Liberation Serif" w:hAnsi="Liberation Serif"/>
          <w:sz w:val="24"/>
          <w:szCs w:val="24"/>
        </w:rPr>
        <w:t xml:space="preserve">   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ab/>
        <w:t>При этом необходимо  обеспечить  эффективное, своевременное и полное  использование  бюджетных средств, а также выполнение  мероприятий и достижение плановых показателей  муниципальных программ Тугулымского муниципального округа;</w:t>
      </w:r>
    </w:p>
    <w:p>
      <w:pPr>
        <w:pStyle w:val="ConsPlusNormal"/>
        <w:keepNext w:val="false"/>
        <w:keepLines w:val="false"/>
        <w:pageBreakBefore w:val="false"/>
        <w:widowControl w:val="false"/>
        <w:suppressAutoHyphens w:val="true"/>
        <w:overflowPunct w:val="true"/>
        <w:bidi w:val="0"/>
        <w:snapToGrid w:val="true"/>
        <w:spacing w:before="0" w:after="0"/>
        <w:ind w:firstLine="737" w:start="0" w:end="0"/>
        <w:jc w:val="both"/>
        <w:textAlignment w:val="auto"/>
        <w:rPr/>
      </w:pPr>
      <w:r>
        <w:rPr>
          <w:rFonts w:cs="Times New Roman" w:ascii="Liberation Serif" w:hAnsi="Liberation Serif"/>
          <w:sz w:val="24"/>
          <w:szCs w:val="24"/>
        </w:rPr>
        <w:t xml:space="preserve">Реализация бюджетной политики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  <w:r>
        <w:rPr>
          <w:rFonts w:cs="Times New Roman" w:ascii="Liberation Serif" w:hAnsi="Liberation Serif"/>
          <w:sz w:val="24"/>
          <w:szCs w:val="24"/>
        </w:rPr>
        <w:t xml:space="preserve"> должна осуществляться с учетом прогнозируемых на долгосрочный период рисков развития экономики, рисков сбалансированности областного бюджета, с применением адекватных мер по их минимизации.</w:t>
      </w:r>
    </w:p>
    <w:p>
      <w:pPr>
        <w:pStyle w:val="ConsPlusNormal"/>
        <w:keepNext w:val="false"/>
        <w:keepLines w:val="false"/>
        <w:pageBreakBefore w:val="false"/>
        <w:overflowPunct w:val="true"/>
        <w:bidi w:val="0"/>
        <w:snapToGrid w:val="true"/>
        <w:spacing w:lineRule="atLeast" w:line="20"/>
        <w:ind w:firstLine="540" w:start="0" w:end="0"/>
        <w:jc w:val="both"/>
        <w:textAlignment w:val="auto"/>
        <w:rPr/>
      </w:pPr>
      <w:r>
        <w:rPr>
          <w:rFonts w:cs="Times New Roman" w:ascii="Liberation Serif" w:hAnsi="Liberation Serif"/>
          <w:sz w:val="24"/>
          <w:szCs w:val="24"/>
        </w:rPr>
        <w:tab/>
        <w:t xml:space="preserve">В условиях экономической нестабильности наиболее негативными последствиями и рисками для бюджетной системы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  <w:r>
        <w:rPr>
          <w:rFonts w:cs="Times New Roman" w:ascii="Liberation Serif" w:hAnsi="Liberation Serif"/>
          <w:sz w:val="24"/>
          <w:szCs w:val="24"/>
        </w:rPr>
        <w:t xml:space="preserve"> являются:</w:t>
      </w:r>
    </w:p>
    <w:p>
      <w:pPr>
        <w:pStyle w:val="ConsPlusNormal"/>
        <w:keepNext w:val="false"/>
        <w:keepLines w:val="false"/>
        <w:pageBreakBefore w:val="false"/>
        <w:widowControl w:val="false"/>
        <w:numPr>
          <w:ilvl w:val="0"/>
          <w:numId w:val="2"/>
        </w:numPr>
        <w:suppressAutoHyphens w:val="true"/>
        <w:overflowPunct w:val="true"/>
        <w:bidi w:val="0"/>
        <w:snapToGrid w:val="true"/>
        <w:spacing w:lineRule="atLeast" w:line="20" w:before="0" w:after="0"/>
        <w:ind w:firstLine="737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>превышение прогнозируемого уровня инфляции;</w:t>
      </w:r>
    </w:p>
    <w:p>
      <w:pPr>
        <w:pStyle w:val="ConsPlusNormal"/>
        <w:keepNext w:val="false"/>
        <w:keepLines w:val="false"/>
        <w:pageBreakBefore w:val="false"/>
        <w:widowControl w:val="false"/>
        <w:numPr>
          <w:ilvl w:val="0"/>
          <w:numId w:val="2"/>
        </w:numPr>
        <w:suppressAutoHyphens w:val="true"/>
        <w:overflowPunct w:val="true"/>
        <w:bidi w:val="0"/>
        <w:snapToGrid w:val="true"/>
        <w:spacing w:lineRule="atLeast" w:line="20" w:before="0" w:after="0"/>
        <w:ind w:firstLine="737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 xml:space="preserve"> </w:t>
      </w:r>
      <w:r>
        <w:rPr>
          <w:rFonts w:cs="Times New Roman" w:ascii="Liberation Serif" w:hAnsi="Liberation Serif"/>
          <w:sz w:val="24"/>
          <w:szCs w:val="24"/>
          <w:lang w:val="ru-RU"/>
        </w:rPr>
        <w:t>высокий уровень дефицита местного бюджета, рост муниципального долга;</w:t>
      </w:r>
    </w:p>
    <w:p>
      <w:pPr>
        <w:pStyle w:val="ConsPlusNormal"/>
        <w:keepNext w:val="false"/>
        <w:keepLines w:val="false"/>
        <w:pageBreakBefore w:val="false"/>
        <w:widowControl w:val="false"/>
        <w:numPr>
          <w:ilvl w:val="0"/>
          <w:numId w:val="2"/>
        </w:numPr>
        <w:suppressAutoHyphens w:val="true"/>
        <w:overflowPunct w:val="true"/>
        <w:bidi w:val="0"/>
        <w:snapToGrid w:val="true"/>
        <w:spacing w:lineRule="atLeast" w:line="20" w:before="0" w:after="0"/>
        <w:ind w:firstLine="737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>сокращение межбюджетных трансфертов из федерального и областного бюджетов;</w:t>
      </w:r>
    </w:p>
    <w:p>
      <w:pPr>
        <w:pStyle w:val="ConsPlusNormal"/>
        <w:keepNext w:val="false"/>
        <w:keepLines w:val="false"/>
        <w:pageBreakBefore w:val="false"/>
        <w:widowControl w:val="false"/>
        <w:numPr>
          <w:ilvl w:val="0"/>
          <w:numId w:val="2"/>
        </w:numPr>
        <w:suppressAutoHyphens w:val="true"/>
        <w:overflowPunct w:val="true"/>
        <w:bidi w:val="0"/>
        <w:snapToGrid w:val="true"/>
        <w:spacing w:lineRule="atLeast" w:line="20" w:before="0" w:after="0"/>
        <w:ind w:firstLine="737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>возникновение  новых расходных обязательств, не обеспеченных источниками финансирования;</w:t>
      </w:r>
    </w:p>
    <w:p>
      <w:pPr>
        <w:pStyle w:val="ConsPlusNormal"/>
        <w:keepNext w:val="false"/>
        <w:keepLines w:val="false"/>
        <w:pageBreakBefore w:val="false"/>
        <w:widowControl w:val="false"/>
        <w:suppressAutoHyphens w:val="true"/>
        <w:overflowPunct w:val="true"/>
        <w:bidi w:val="0"/>
        <w:snapToGrid w:val="true"/>
        <w:spacing w:lineRule="atLeast" w:line="20" w:before="0" w:after="0"/>
        <w:ind w:firstLine="680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 xml:space="preserve">5) </w:t>
      </w:r>
      <w:r>
        <w:rPr>
          <w:rFonts w:cs="Times New Roman" w:ascii="Liberation Serif" w:hAnsi="Liberation Serif"/>
          <w:sz w:val="24"/>
          <w:szCs w:val="24"/>
          <w:lang w:val="ru-RU"/>
        </w:rPr>
        <w:t>Изменение налогового и бюджетного законодательства Российской Федерации;</w:t>
      </w:r>
    </w:p>
    <w:p>
      <w:pPr>
        <w:pStyle w:val="ConsPlusNormal"/>
        <w:keepNext w:val="false"/>
        <w:keepLines w:val="false"/>
        <w:pageBreakBefore w:val="false"/>
        <w:numPr>
          <w:ilvl w:val="0"/>
          <w:numId w:val="0"/>
        </w:numPr>
        <w:overflowPunct w:val="true"/>
        <w:bidi w:val="0"/>
        <w:snapToGrid w:val="true"/>
        <w:spacing w:lineRule="atLeast" w:line="20"/>
        <w:ind w:hanging="0" w:start="54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ab/>
        <w:t>Минимизацию бюджетных рисков планируется осуществлять за счет:</w:t>
      </w:r>
    </w:p>
    <w:p>
      <w:pPr>
        <w:pStyle w:val="ConsPlusNormal"/>
        <w:keepNext w:val="false"/>
        <w:keepLines w:val="false"/>
        <w:pageBreakBefore w:val="false"/>
        <w:overflowPunct w:val="true"/>
        <w:bidi w:val="0"/>
        <w:snapToGrid w:val="true"/>
        <w:spacing w:lineRule="atLeast" w:line="20"/>
        <w:ind w:firstLine="540" w:start="0" w:end="0"/>
        <w:jc w:val="both"/>
        <w:textAlignment w:val="auto"/>
        <w:rPr/>
      </w:pPr>
      <w:r>
        <w:rPr>
          <w:rFonts w:cs="Times New Roman" w:ascii="Liberation Serif" w:hAnsi="Liberation Serif"/>
          <w:sz w:val="24"/>
          <w:szCs w:val="24"/>
        </w:rPr>
        <w:tab/>
        <w:t xml:space="preserve">1) повышение доходного потенциала </w:t>
      </w:r>
      <w:r>
        <w:rPr>
          <w:rStyle w:val="pt-a0-000053"/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  <w:r>
        <w:rPr>
          <w:rFonts w:cs="Times New Roman" w:ascii="Liberation Serif" w:hAnsi="Liberation Serif"/>
          <w:sz w:val="24"/>
          <w:szCs w:val="24"/>
        </w:rPr>
        <w:t>;</w:t>
      </w:r>
    </w:p>
    <w:p>
      <w:pPr>
        <w:pStyle w:val="ConsPlusNormal"/>
        <w:keepNext w:val="false"/>
        <w:keepLines w:val="false"/>
        <w:pageBreakBefore w:val="false"/>
        <w:overflowPunct w:val="true"/>
        <w:bidi w:val="0"/>
        <w:snapToGrid w:val="true"/>
        <w:spacing w:lineRule="atLeast" w:line="20"/>
        <w:ind w:firstLine="540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2) сохранение стабильного уровня налоговой нагрузки;</w:t>
      </w:r>
    </w:p>
    <w:p>
      <w:pPr>
        <w:pStyle w:val="ConsPlusNormal"/>
        <w:keepNext w:val="false"/>
        <w:keepLines w:val="false"/>
        <w:pageBreakBefore w:val="false"/>
        <w:overflowPunct w:val="true"/>
        <w:bidi w:val="0"/>
        <w:snapToGrid w:val="true"/>
        <w:spacing w:lineRule="atLeast" w:line="20"/>
        <w:ind w:firstLine="540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ab/>
        <w:t>3) работа по оздоровлению муниципальных финансов Тугулымского муниципального округа;</w:t>
      </w:r>
    </w:p>
    <w:p>
      <w:pPr>
        <w:pStyle w:val="ConsPlusNormal"/>
        <w:keepNext w:val="false"/>
        <w:keepLines w:val="false"/>
        <w:pageBreakBefore w:val="false"/>
        <w:overflowPunct w:val="true"/>
        <w:bidi w:val="0"/>
        <w:snapToGrid w:val="true"/>
        <w:spacing w:lineRule="atLeast" w:line="20"/>
        <w:ind w:firstLine="540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ab/>
        <w:t>4) активное участие в привлечении средств областного бюджета, в рамках  государственных программ Российской Федерации и Свердловской области;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true"/>
        <w:bidi w:val="0"/>
        <w:snapToGrid w:val="true"/>
        <w:spacing w:lineRule="atLeast" w:line="20"/>
        <w:ind w:firstLine="539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ab/>
        <w:t>5</w:t>
      </w:r>
      <w:r>
        <w:rPr>
          <w:rFonts w:cs="Times New Roman" w:ascii="Liberation Serif" w:hAnsi="Liberation Serif"/>
          <w:sz w:val="24"/>
          <w:szCs w:val="24"/>
        </w:rPr>
        <w:t>) проведение регулярной оценки качества и распространение лучших практик управления финансами;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true"/>
        <w:bidi w:val="0"/>
        <w:snapToGrid w:val="true"/>
        <w:spacing w:lineRule="atLeast" w:line="20"/>
        <w:ind w:firstLine="539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ab/>
        <w:t>6</w:t>
      </w:r>
      <w:r>
        <w:rPr>
          <w:rFonts w:cs="Times New Roman" w:ascii="Liberation Serif" w:hAnsi="Liberation Serif"/>
          <w:sz w:val="24"/>
          <w:szCs w:val="24"/>
        </w:rPr>
        <w:t>) контроль за соблюдением ограничений, установленных бюджетным законодательством Российской Федерации.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true"/>
        <w:bidi w:val="0"/>
        <w:snapToGrid w:val="true"/>
        <w:spacing w:lineRule="atLeast" w:line="20"/>
        <w:ind w:firstLine="539" w:start="0" w:end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ab/>
        <w:t xml:space="preserve">В  долгосрочном периоде необходимо продолжать работу по повышению качества управления финансами Тугулымского муниципального округа и эффективности использования бюджетных средств.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firstLine="709" w:start="0"/>
        <w:contextualSpacing/>
        <w:jc w:val="both"/>
        <w:outlineLvl w:val="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Прогноз основных характеристик бюджета </w:t>
      </w:r>
      <w:r>
        <w:rPr>
          <w:rFonts w:cs="Times New Roman" w:ascii="Liberation Serif" w:hAnsi="Liberation Serif"/>
          <w:sz w:val="24"/>
          <w:szCs w:val="24"/>
          <w:lang w:val="ru-RU"/>
        </w:rPr>
        <w:t>Тугулымского муниципального</w:t>
      </w:r>
      <w:r>
        <w:rPr>
          <w:rFonts w:ascii="Liberation Serif" w:hAnsi="Liberation Serif"/>
          <w:sz w:val="24"/>
          <w:szCs w:val="24"/>
        </w:rPr>
        <w:t xml:space="preserve"> округа представлен в приложении № 1 к бюджетному прогнозу.</w:t>
      </w:r>
    </w:p>
    <w:p>
      <w:pPr>
        <w:pStyle w:val="Normal"/>
        <w:numPr>
          <w:ilvl w:val="0"/>
          <w:numId w:val="0"/>
        </w:numPr>
        <w:ind w:firstLine="567" w:start="0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Показатели финансового обеспечения муниципальных программ </w:t>
      </w:r>
      <w:r>
        <w:rPr>
          <w:rFonts w:cs="Times New Roman" w:ascii="Liberation Serif" w:hAnsi="Liberation Serif"/>
          <w:sz w:val="24"/>
          <w:szCs w:val="24"/>
          <w:lang w:val="ru-RU"/>
        </w:rPr>
        <w:t>Тугулымского муниципального</w:t>
      </w:r>
      <w:r>
        <w:rPr>
          <w:rFonts w:ascii="Liberation Serif" w:hAnsi="Liberation Serif"/>
          <w:sz w:val="24"/>
          <w:szCs w:val="24"/>
        </w:rPr>
        <w:t xml:space="preserve"> округа на период их действия за счет средств местного бюджета представлены в приложении № 2 к бюджетному прогнозу.</w:t>
      </w:r>
    </w:p>
    <w:p>
      <w:pPr>
        <w:pStyle w:val="ConsPlusNormal"/>
        <w:ind w:hanging="0" w:start="0" w:end="0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tLeast" w:line="20" w:before="0" w:after="0"/>
        <w:ind w:firstLine="709" w:start="0"/>
        <w:contextualSpacing/>
        <w:jc w:val="both"/>
        <w:textAlignment w:val="auto"/>
        <w:outlineLvl w:val="1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cs="Times New Roman" w:ascii="Times New Roman" w:hAnsi="Times New Roman"/>
          <w:sz w:val="27"/>
          <w:szCs w:val="27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tLeast" w:line="20" w:before="0" w:after="0"/>
        <w:ind w:firstLine="709" w:start="0"/>
        <w:contextualSpacing/>
        <w:jc w:val="both"/>
        <w:textAlignment w:val="auto"/>
        <w:outlineLvl w:val="1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cs="Times New Roman" w:ascii="Times New Roman" w:hAnsi="Times New Roman"/>
          <w:sz w:val="27"/>
          <w:szCs w:val="27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tLeast" w:line="20" w:before="0" w:after="0"/>
        <w:ind w:firstLineChars="300"/>
        <w:jc w:val="both"/>
        <w:textAlignment w:val="auto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cs="Times New Roman" w:ascii="Times New Roman" w:hAnsi="Times New Roman"/>
          <w:sz w:val="27"/>
          <w:szCs w:val="27"/>
          <w:lang w:val="ru-RU"/>
        </w:rPr>
      </w:r>
      <w:bookmarkStart w:id="1" w:name="_GoBack"/>
      <w:bookmarkStart w:id="2" w:name="_GoBack"/>
      <w:bookmarkEnd w:id="2"/>
    </w:p>
    <w:sectPr>
      <w:type w:val="nextPage"/>
      <w:pgSz w:w="11906" w:h="16838"/>
      <w:pgMar w:left="1440" w:right="866" w:gutter="0" w:header="0" w:top="855" w:footer="0" w:bottom="144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decimal"/>
      <w:suff w:val="space"/>
      <w:lvlText w:val="%1)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doNotExpandShiftReturn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 w:qFormat="1"/>
    <w:lsdException w:name="Table Theme" w:uiPriority="0" w:semiHidden="0" w:unhideWhenUsed="0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pt-a0-000053" w:customStyle="1">
    <w:name w:val="pt-a0-000053"/>
    <w:basedOn w:val="1"/>
    <w:uiPriority w:val="2"/>
    <w:qFormat/>
    <w:rPr/>
  </w:style>
  <w:style w:type="character" w:styleId="1" w:customStyle="1">
    <w:name w:val="Основной шрифт абзаца1"/>
    <w:uiPriority w:val="67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uiPriority w:val="6"/>
    <w:qFormat/>
    <w:pPr>
      <w:widowControl w:val="false"/>
      <w:suppressAutoHyphens w:val="true"/>
      <w:bidi w:val="0"/>
      <w:spacing w:before="0" w:after="0"/>
      <w:ind w:firstLine="720" w:start="0" w:end="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uiPriority w:val="34"/>
    <w:qFormat/>
    <w:pPr>
      <w:spacing w:lineRule="auto" w:line="276" w:before="0" w:after="200"/>
      <w:ind w:start="720"/>
      <w:contextualSpacing/>
    </w:pPr>
    <w:rPr>
      <w:rFonts w:ascii="Calibri" w:hAnsi="Calibri" w:eastAsia="Calibri"/>
      <w:sz w:val="22"/>
      <w:szCs w:val="22"/>
      <w:lang w:eastAsia="en-US"/>
    </w:rPr>
  </w:style>
  <w:style w:type="table" w:default="1" w:styleId="3">
    <w:name w:val="Normal Table"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LibreOffice/25.8.4.2$Linux_X86_64 LibreOffice_project/290daaa01b999472f0c7a3890eb6a550fd74c6df</Application>
  <AppVersion>15.0000</AppVersion>
  <Pages>4</Pages>
  <Words>988</Words>
  <Characters>7885</Characters>
  <CharactersWithSpaces>9133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2026-02-05T03:21:00Z</dcterms:created>
  <dc:creator>Urist</dc:creator>
  <dc:description/>
  <dc:language>ru-RU</dc:language>
  <cp:lastModifiedBy/>
  <cp:lastPrinted>2026-02-12T05:28:00Z</cp:lastPrinted>
  <dcterms:modified xsi:type="dcterms:W3CDTF">2026-02-17T16:46:48Z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0BDBE5B3BA24496F803AD6A99B4B51E0_12</vt:lpwstr>
  </property>
  <property fmtid="{D5CDD505-2E9C-101B-9397-08002B2CF9AE}" pid="3" name="KSOProductBuildVer">
    <vt:lpwstr>1049-12.2.0.23196</vt:lpwstr>
  </property>
</Properties>
</file>